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222F" w14:textId="77777777" w:rsidR="007B7F13" w:rsidRPr="006B7E9B" w:rsidRDefault="007B7F13">
      <w:pP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B302230" w14:textId="6D3ABD90" w:rsidR="007B7F13" w:rsidRPr="001731EF" w:rsidRDefault="006B7E9B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Технічне завдання для посади</w:t>
      </w:r>
    </w:p>
    <w:p w14:paraId="66A35006" w14:textId="2C85C732" w:rsidR="00D93587" w:rsidRPr="00E672F8" w:rsidRDefault="00E83A1F" w:rsidP="00D93587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Експерта з публічних закупівель (категорійного менеджера) з питань будівельних робіт</w:t>
      </w:r>
    </w:p>
    <w:p w14:paraId="2241F3B0" w14:textId="77777777" w:rsidR="00D93587" w:rsidRPr="001731EF" w:rsidRDefault="00D93587" w:rsidP="00D9358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для Державного агентства відновлення </w:t>
      </w:r>
    </w:p>
    <w:p w14:paraId="572E63EE" w14:textId="77777777" w:rsidR="00D93587" w:rsidRPr="001731EF" w:rsidRDefault="00D93587" w:rsidP="00D9358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та розвитку інфраструктури України </w:t>
      </w:r>
    </w:p>
    <w:p w14:paraId="3B302234" w14:textId="77777777" w:rsidR="007B7F13" w:rsidRPr="00D95E71" w:rsidRDefault="007B7F13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35" w14:textId="77777777" w:rsidR="007B7F13" w:rsidRPr="00D95E71" w:rsidRDefault="007B7F13">
      <w:pP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36" w14:textId="77777777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Передумови та контекст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3B302237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38" w14:textId="77777777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Підтримка антикорупційних заходів в Україні є одним з основних напрямів політики Європейського Союзу і Данії. Допомога у подоланні корупції є внеском ЄС у зміцнення демократії в Україні, стимулювання росту її економіки, а також наближення України до ЄС. </w:t>
      </w:r>
    </w:p>
    <w:p w14:paraId="3B302239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3A" w14:textId="397839B6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Масштабне російське вторгнення на територію України призвело до змін у форматі роботи EUACI. Щоб подолати нові виклики, керівництво EUACI вирішило зосередити зусилля на кількох нових темах, зокрема на прозорому та підзвітному управлінні розподілом майбутньої грошової чи майнової допомоги на реконструкцію.</w:t>
      </w:r>
    </w:p>
    <w:p w14:paraId="3B30223B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F21E7C2" w14:textId="77777777" w:rsidR="00AD1DB5" w:rsidRPr="00D95E71" w:rsidRDefault="00AD1DB5" w:rsidP="00AD1DB5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Одними з ключових завдань програми як на національному, так і на місцевому рівнях у складі всіх трьох компонентів EUACI зараз та в подальшому є надання допомоги у відбудові України та забезпечення доброчесності. Ключовим партнером EUACI за цим напрямом є уряд України.</w:t>
      </w:r>
    </w:p>
    <w:p w14:paraId="3B30223D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3E" w14:textId="79EA34E1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Визнаючи надзвичайну важливість належного координування та управління процесом відновлення, у грудні 2022 року Кабінет Міністрів України ухвалив рішення про об’єднання двох міністерств, які раніше працювали над двома різними аспектами цього процесу, а саме — Міністерства інфраструктури та Міністерства розвитку громад та територій. Нова структура отримала назву Міністерство розвитку громад, територій та інфраструктури. Нині його очолює </w:t>
      </w:r>
      <w:proofErr w:type="spellStart"/>
      <w:r>
        <w:rPr>
          <w:rFonts w:ascii="Verdana" w:hAnsi="Verdana"/>
          <w:color w:val="000000"/>
          <w:sz w:val="20"/>
          <w:szCs w:val="20"/>
        </w:rPr>
        <w:t>віцепрем'єр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-міністр з відновлення України Олександр </w:t>
      </w:r>
      <w:proofErr w:type="spellStart"/>
      <w:r>
        <w:rPr>
          <w:rFonts w:ascii="Verdana" w:hAnsi="Verdana"/>
          <w:color w:val="000000"/>
          <w:sz w:val="20"/>
          <w:szCs w:val="20"/>
        </w:rPr>
        <w:t>Кубраков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3B30223F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40" w14:textId="77777777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Також було створено нове Державне агентство відновлення та розвитку інфраструктури України у результаті об’єднання Державного агентства інфраструктурних проєктів і Державного агентства автомобільних доріг України (далі — «Агентство»). Агентство створено для прямого управління та нагляду за реалізацією обраних проєктів із відновлення, а Міністерству доручене розроблення відповідної політики та нагляд за її впровадженням.</w:t>
      </w:r>
    </w:p>
    <w:p w14:paraId="3B302241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5D28119" w14:textId="77777777" w:rsidR="00AD1DB5" w:rsidRPr="00D95E71" w:rsidRDefault="00AD1DB5" w:rsidP="00AD1DB5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підтримки діяльності уряду України з ефективного управління відбудовою та післявоєнним відновленням, а також для врахування вимог щодо прозорості й доброчесності, EUACI та Міністерство погодилися створити компактну Групу підтримки доброчесності (</w:t>
      </w:r>
      <w:proofErr w:type="spellStart"/>
      <w:r>
        <w:rPr>
          <w:rFonts w:ascii="Verdana" w:hAnsi="Verdana"/>
          <w:color w:val="000000"/>
          <w:sz w:val="20"/>
          <w:szCs w:val="20"/>
        </w:rPr>
        <w:t>Integrity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Support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Group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ISG). Ця група складає з кількох консультантів, яких буде максимально залучено до діяльності Міністерства та Агентства. </w:t>
      </w:r>
    </w:p>
    <w:p w14:paraId="7FCA86D4" w14:textId="77777777" w:rsidR="000E0EAE" w:rsidRPr="00D95E71" w:rsidRDefault="000E0EAE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5C90398" w14:textId="58407FA1" w:rsidR="00AE2C59" w:rsidRPr="00D95E71" w:rsidRDefault="000530B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Зважаючи на те, що фінансування відбудови здійснюватиметься за допомогою певних процедур проведення закупівель, та оскільки будівництво передбачає чи не найскладніші договірні конструкції, одним із ключових завдань антикорупційної програми Агентства є побудова ефективного, конкурентного та прозорого процесу проведення закупівель для відбудови. Це завдання ускладнює той факт, що історично, впродовж останніх років, найвищі корупційні ризики в державному секторі спостерігалися саме в сфері публічних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закупівель. Закон України «Про публічні закупівлі», ухвалений у 2015 році, та запровадження у 2016 році електронної системи публічних </w:t>
      </w:r>
      <w:proofErr w:type="spellStart"/>
      <w:r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Prozorro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значно обмежили можливості для маніпуляцій та підвищили прозорість і підзвітність замовників у публічних </w:t>
      </w:r>
      <w:proofErr w:type="spellStart"/>
      <w:r>
        <w:rPr>
          <w:rFonts w:ascii="Verdana" w:hAnsi="Verdana"/>
          <w:color w:val="000000"/>
          <w:sz w:val="20"/>
          <w:szCs w:val="20"/>
        </w:rPr>
        <w:t>закупівлях</w:t>
      </w:r>
      <w:proofErr w:type="spellEnd"/>
      <w:r>
        <w:rPr>
          <w:rFonts w:ascii="Verdana" w:hAnsi="Verdana"/>
          <w:color w:val="000000"/>
          <w:sz w:val="20"/>
          <w:szCs w:val="20"/>
        </w:rPr>
        <w:t>, однак, і це стосується будь-якого іншого інструменту, для їх ефективного використання необхідно забезпечити залучення кваліфікованих та доброчесних фахівців, а також здійснення постійного моніторингу та вдосконалення внутрішніх процедур</w:t>
      </w:r>
      <w:r w:rsidR="0063527F">
        <w:rPr>
          <w:rFonts w:ascii="Verdana" w:hAnsi="Verdana"/>
          <w:color w:val="000000"/>
          <w:sz w:val="20"/>
          <w:szCs w:val="20"/>
        </w:rPr>
        <w:t>.</w:t>
      </w:r>
    </w:p>
    <w:p w14:paraId="3B302243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44" w14:textId="36ED5CEC" w:rsidR="007B7F13" w:rsidRPr="00D95E71" w:rsidRDefault="00AD1DB5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 складі Групи підтримки доброчесності </w:t>
      </w:r>
      <w:r w:rsidR="006B7E9B" w:rsidRPr="00AD1DB5">
        <w:rPr>
          <w:rFonts w:ascii="Verdana" w:hAnsi="Verdana"/>
          <w:b/>
          <w:color w:val="000000"/>
          <w:sz w:val="20"/>
          <w:szCs w:val="20"/>
        </w:rPr>
        <w:t xml:space="preserve">експерт </w:t>
      </w:r>
      <w:r w:rsidR="000530B9" w:rsidRPr="00AD1DB5">
        <w:rPr>
          <w:rFonts w:ascii="Verdana" w:hAnsi="Verdana"/>
          <w:b/>
          <w:color w:val="000000"/>
          <w:sz w:val="20"/>
          <w:szCs w:val="20"/>
        </w:rPr>
        <w:t>і</w:t>
      </w:r>
      <w:r w:rsidR="006B7E9B" w:rsidRPr="00AD1DB5">
        <w:rPr>
          <w:rFonts w:ascii="Verdana" w:hAnsi="Verdana"/>
          <w:b/>
          <w:color w:val="000000"/>
          <w:sz w:val="20"/>
          <w:szCs w:val="20"/>
        </w:rPr>
        <w:t xml:space="preserve">з публічних </w:t>
      </w:r>
      <w:proofErr w:type="spellStart"/>
      <w:r w:rsidR="006B7E9B" w:rsidRPr="00AD1DB5">
        <w:rPr>
          <w:rFonts w:ascii="Verdana" w:hAnsi="Verdana"/>
          <w:b/>
          <w:color w:val="000000"/>
          <w:sz w:val="20"/>
          <w:szCs w:val="20"/>
        </w:rPr>
        <w:t>закупівель</w:t>
      </w:r>
      <w:proofErr w:type="spellEnd"/>
      <w:r w:rsidR="006B7E9B" w:rsidRPr="00AD1DB5">
        <w:rPr>
          <w:rFonts w:ascii="Verdana" w:hAnsi="Verdana"/>
          <w:b/>
          <w:color w:val="000000"/>
          <w:sz w:val="20"/>
          <w:szCs w:val="20"/>
        </w:rPr>
        <w:t xml:space="preserve"> (категорійний менеджер) </w:t>
      </w:r>
      <w:r w:rsidR="000530B9" w:rsidRPr="00AD1DB5">
        <w:rPr>
          <w:rFonts w:ascii="Verdana" w:hAnsi="Verdana"/>
          <w:b/>
          <w:color w:val="000000"/>
          <w:sz w:val="20"/>
          <w:szCs w:val="20"/>
        </w:rPr>
        <w:t>і</w:t>
      </w:r>
      <w:r w:rsidR="006B7E9B" w:rsidRPr="00AD1DB5">
        <w:rPr>
          <w:rFonts w:ascii="Verdana" w:hAnsi="Verdana"/>
          <w:b/>
          <w:color w:val="000000"/>
          <w:sz w:val="20"/>
          <w:szCs w:val="20"/>
        </w:rPr>
        <w:t xml:space="preserve">з питань будівельних робіт </w:t>
      </w:r>
      <w:r w:rsidR="006B7E9B">
        <w:rPr>
          <w:rFonts w:ascii="Verdana" w:hAnsi="Verdana"/>
          <w:color w:val="000000"/>
          <w:sz w:val="20"/>
          <w:szCs w:val="20"/>
        </w:rPr>
        <w:t>для Агентства керуватиме процедур</w:t>
      </w:r>
      <w:r w:rsidR="000530B9">
        <w:rPr>
          <w:rFonts w:ascii="Verdana" w:hAnsi="Verdana"/>
          <w:color w:val="000000"/>
          <w:sz w:val="20"/>
          <w:szCs w:val="20"/>
        </w:rPr>
        <w:t>ами</w:t>
      </w:r>
      <w:r w:rsidR="006B7E9B">
        <w:rPr>
          <w:rFonts w:ascii="Verdana" w:hAnsi="Verdana"/>
          <w:color w:val="000000"/>
          <w:sz w:val="20"/>
          <w:szCs w:val="20"/>
        </w:rPr>
        <w:t xml:space="preserve"> проведення </w:t>
      </w:r>
      <w:proofErr w:type="spellStart"/>
      <w:r w:rsidR="006B7E9B"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 w:rsidR="006B7E9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під час впровадження А</w:t>
      </w:r>
      <w:r w:rsidR="006B7E9B">
        <w:rPr>
          <w:rFonts w:ascii="Verdana" w:hAnsi="Verdana"/>
          <w:color w:val="000000"/>
          <w:sz w:val="20"/>
          <w:szCs w:val="20"/>
        </w:rPr>
        <w:t xml:space="preserve">нтикорупційної програми, </w:t>
      </w:r>
      <w:r w:rsidR="000530B9">
        <w:rPr>
          <w:rFonts w:ascii="Verdana" w:hAnsi="Verdana"/>
          <w:color w:val="000000"/>
          <w:sz w:val="20"/>
          <w:szCs w:val="20"/>
        </w:rPr>
        <w:t xml:space="preserve">створюватиме </w:t>
      </w:r>
      <w:r w:rsidR="006B7E9B">
        <w:rPr>
          <w:rFonts w:ascii="Verdana" w:hAnsi="Verdana"/>
          <w:color w:val="000000"/>
          <w:sz w:val="20"/>
          <w:szCs w:val="20"/>
        </w:rPr>
        <w:t xml:space="preserve">правила закупівель та категорійні стратегії у </w:t>
      </w:r>
      <w:proofErr w:type="spellStart"/>
      <w:r w:rsidR="006B7E9B">
        <w:rPr>
          <w:rFonts w:ascii="Verdana" w:hAnsi="Verdana"/>
          <w:color w:val="000000"/>
          <w:sz w:val="20"/>
          <w:szCs w:val="20"/>
        </w:rPr>
        <w:t>закупівлях</w:t>
      </w:r>
      <w:proofErr w:type="spellEnd"/>
      <w:r w:rsidR="006B7E9B">
        <w:rPr>
          <w:rFonts w:ascii="Verdana" w:hAnsi="Verdana"/>
          <w:color w:val="000000"/>
          <w:sz w:val="20"/>
          <w:szCs w:val="20"/>
        </w:rPr>
        <w:t xml:space="preserve">, а також здійснюватиме моніторинг </w:t>
      </w:r>
      <w:r w:rsidR="000530B9">
        <w:rPr>
          <w:rFonts w:ascii="Verdana" w:hAnsi="Verdana"/>
          <w:color w:val="000000"/>
          <w:sz w:val="20"/>
          <w:szCs w:val="20"/>
        </w:rPr>
        <w:t xml:space="preserve">і </w:t>
      </w:r>
      <w:r w:rsidR="006B7E9B">
        <w:rPr>
          <w:rFonts w:ascii="Verdana" w:hAnsi="Verdana"/>
          <w:color w:val="000000"/>
          <w:sz w:val="20"/>
          <w:szCs w:val="20"/>
        </w:rPr>
        <w:t>контроль необхідних заходів з їх дотримання для територіальних органів Агентства</w:t>
      </w:r>
      <w:r>
        <w:rPr>
          <w:rFonts w:ascii="Verdana" w:hAnsi="Verdana"/>
          <w:color w:val="000000"/>
          <w:sz w:val="20"/>
          <w:szCs w:val="20"/>
        </w:rPr>
        <w:t xml:space="preserve"> –</w:t>
      </w:r>
      <w:r w:rsidR="006B7E9B">
        <w:rPr>
          <w:rFonts w:ascii="Verdana" w:hAnsi="Verdana"/>
          <w:color w:val="000000"/>
          <w:sz w:val="20"/>
          <w:szCs w:val="20"/>
        </w:rPr>
        <w:t>Регіональни</w:t>
      </w:r>
      <w:r>
        <w:rPr>
          <w:rFonts w:ascii="Verdana" w:hAnsi="Verdana"/>
          <w:color w:val="000000"/>
          <w:sz w:val="20"/>
          <w:szCs w:val="20"/>
        </w:rPr>
        <w:t>х</w:t>
      </w:r>
      <w:r w:rsidR="006B7E9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служб</w:t>
      </w:r>
      <w:r w:rsidR="006B7E9B">
        <w:rPr>
          <w:rFonts w:ascii="Verdana" w:hAnsi="Verdana"/>
          <w:color w:val="000000"/>
          <w:sz w:val="20"/>
          <w:szCs w:val="20"/>
        </w:rPr>
        <w:t xml:space="preserve"> з відновлення. </w:t>
      </w:r>
    </w:p>
    <w:p w14:paraId="3B302246" w14:textId="7E718896" w:rsidR="007B7F13" w:rsidRPr="00D95E71" w:rsidRDefault="007B7F13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48" w14:textId="77777777" w:rsidR="007B7F13" w:rsidRPr="00D95E71" w:rsidRDefault="006B7E9B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Ціль:</w:t>
      </w:r>
    </w:p>
    <w:p w14:paraId="3B302249" w14:textId="77777777" w:rsidR="007B7F13" w:rsidRPr="00D95E71" w:rsidRDefault="007B7F13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4A" w14:textId="2B686288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Основна ціль у рамках цього завдання полягає у </w:t>
      </w:r>
      <w:r w:rsidR="000530B9">
        <w:rPr>
          <w:rFonts w:ascii="Verdana" w:hAnsi="Verdana"/>
          <w:color w:val="000000"/>
          <w:sz w:val="20"/>
          <w:szCs w:val="20"/>
        </w:rPr>
        <w:t xml:space="preserve">розробленні </w:t>
      </w:r>
      <w:r>
        <w:rPr>
          <w:rFonts w:ascii="Verdana" w:hAnsi="Verdana"/>
          <w:color w:val="000000"/>
          <w:sz w:val="20"/>
          <w:szCs w:val="20"/>
        </w:rPr>
        <w:t xml:space="preserve">та підтримці запровадження ефективних процесів проведення закупівель, а також у підтримці та нагляді за їх виконанням у Регіональних </w:t>
      </w:r>
      <w:r w:rsidR="008D41A2">
        <w:rPr>
          <w:rFonts w:ascii="Verdana" w:hAnsi="Verdana"/>
          <w:color w:val="000000"/>
          <w:sz w:val="20"/>
          <w:szCs w:val="20"/>
        </w:rPr>
        <w:t>Службах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530B9">
        <w:rPr>
          <w:rFonts w:ascii="Verdana" w:hAnsi="Verdana"/>
          <w:color w:val="000000"/>
          <w:sz w:val="20"/>
          <w:szCs w:val="20"/>
        </w:rPr>
        <w:t>і</w:t>
      </w:r>
      <w:r>
        <w:rPr>
          <w:rFonts w:ascii="Verdana" w:hAnsi="Verdana"/>
          <w:color w:val="000000"/>
          <w:sz w:val="20"/>
          <w:szCs w:val="20"/>
        </w:rPr>
        <w:t xml:space="preserve">з відновлення (далі — </w:t>
      </w:r>
      <w:r w:rsidR="008D41A2">
        <w:rPr>
          <w:rFonts w:ascii="Verdana" w:hAnsi="Verdana"/>
          <w:color w:val="000000"/>
          <w:sz w:val="20"/>
          <w:szCs w:val="20"/>
        </w:rPr>
        <w:t>Службах</w:t>
      </w:r>
      <w:r>
        <w:rPr>
          <w:rFonts w:ascii="Verdana" w:hAnsi="Verdana"/>
          <w:color w:val="000000"/>
          <w:sz w:val="20"/>
          <w:szCs w:val="20"/>
        </w:rPr>
        <w:t xml:space="preserve">) Агентства. Експерт з публічних закупівель повинен організовувати </w:t>
      </w:r>
      <w:r w:rsidR="000530B9">
        <w:rPr>
          <w:rFonts w:ascii="Verdana" w:hAnsi="Verdana"/>
          <w:color w:val="000000"/>
          <w:sz w:val="20"/>
          <w:szCs w:val="20"/>
        </w:rPr>
        <w:t xml:space="preserve">і </w:t>
      </w:r>
      <w:r>
        <w:rPr>
          <w:rFonts w:ascii="Verdana" w:hAnsi="Verdana"/>
          <w:color w:val="000000"/>
          <w:sz w:val="20"/>
          <w:szCs w:val="20"/>
        </w:rPr>
        <w:t xml:space="preserve">керувати роботою з розроблення «категорійних» стратегій проведення </w:t>
      </w:r>
      <w:proofErr w:type="spellStart"/>
      <w:r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8D41A2">
        <w:rPr>
          <w:rFonts w:ascii="Verdana" w:hAnsi="Verdana"/>
          <w:color w:val="000000"/>
          <w:sz w:val="20"/>
          <w:szCs w:val="20"/>
        </w:rPr>
        <w:t xml:space="preserve">Служб </w:t>
      </w:r>
      <w:r w:rsidR="000530B9">
        <w:rPr>
          <w:rFonts w:ascii="Verdana" w:hAnsi="Verdana"/>
          <w:color w:val="000000"/>
          <w:sz w:val="20"/>
          <w:szCs w:val="20"/>
        </w:rPr>
        <w:t xml:space="preserve">у </w:t>
      </w:r>
      <w:r>
        <w:rPr>
          <w:rFonts w:ascii="Verdana" w:hAnsi="Verdana"/>
          <w:color w:val="000000"/>
          <w:sz w:val="20"/>
          <w:szCs w:val="20"/>
        </w:rPr>
        <w:t xml:space="preserve">рамках антикорупційної програми, проводити моніторинг </w:t>
      </w:r>
      <w:r w:rsidR="000530B9">
        <w:rPr>
          <w:rFonts w:ascii="Verdana" w:hAnsi="Verdana"/>
          <w:color w:val="000000"/>
          <w:sz w:val="20"/>
          <w:szCs w:val="20"/>
        </w:rPr>
        <w:t xml:space="preserve">і </w:t>
      </w:r>
      <w:r>
        <w:rPr>
          <w:rFonts w:ascii="Verdana" w:hAnsi="Verdana"/>
          <w:color w:val="000000"/>
          <w:sz w:val="20"/>
          <w:szCs w:val="20"/>
        </w:rPr>
        <w:t xml:space="preserve">контролювати їх виконання у структурі </w:t>
      </w:r>
      <w:r w:rsidR="008D41A2">
        <w:rPr>
          <w:rFonts w:ascii="Verdana" w:hAnsi="Verdana"/>
          <w:color w:val="000000"/>
          <w:sz w:val="20"/>
          <w:szCs w:val="20"/>
        </w:rPr>
        <w:t>Служб</w:t>
      </w:r>
      <w:r>
        <w:rPr>
          <w:rFonts w:ascii="Verdana" w:hAnsi="Verdana"/>
          <w:color w:val="000000"/>
          <w:sz w:val="20"/>
          <w:szCs w:val="20"/>
        </w:rPr>
        <w:t xml:space="preserve">, а також надавати звіти за результатами моніторингу. </w:t>
      </w:r>
    </w:p>
    <w:p w14:paraId="3B30224B" w14:textId="77777777" w:rsidR="007B7F13" w:rsidRPr="00D95E71" w:rsidRDefault="007B7F13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4C" w14:textId="77777777" w:rsidR="007B7F13" w:rsidRPr="00D95E71" w:rsidRDefault="006B7E9B">
      <w:pP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Обсяг робіт: </w:t>
      </w:r>
    </w:p>
    <w:p w14:paraId="3B30224D" w14:textId="77777777" w:rsidR="007B7F13" w:rsidRPr="00D95E71" w:rsidRDefault="007B7F13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4E" w14:textId="5E98D817" w:rsidR="007B7F13" w:rsidRPr="00D95E71" w:rsidRDefault="006B7E9B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 обсягу робіт у рамках цього завдання входять різні задачі, включаючи, але не обмежуючись наступним</w:t>
      </w:r>
      <w:r w:rsidR="008D41A2">
        <w:rPr>
          <w:rFonts w:ascii="Verdana" w:hAnsi="Verdana"/>
          <w:color w:val="000000"/>
          <w:sz w:val="20"/>
          <w:szCs w:val="20"/>
        </w:rPr>
        <w:t>и</w:t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4301BFCD" w14:textId="4A038589" w:rsidR="005D4B22" w:rsidRPr="00D95E71" w:rsidRDefault="005D4B22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Розроб</w:t>
      </w:r>
      <w:r w:rsidR="008D41A2">
        <w:rPr>
          <w:rFonts w:ascii="Verdana" w:hAnsi="Verdana"/>
          <w:color w:val="000000"/>
          <w:sz w:val="20"/>
          <w:szCs w:val="20"/>
        </w:rPr>
        <w:t>ка</w:t>
      </w:r>
      <w:r>
        <w:rPr>
          <w:rFonts w:ascii="Verdana" w:hAnsi="Verdana"/>
          <w:color w:val="000000"/>
          <w:sz w:val="20"/>
          <w:szCs w:val="20"/>
        </w:rPr>
        <w:t xml:space="preserve"> кваліфікаційних критеріїв (обладнання, персонал, досвід, фінансова спроможність) за видами та сегментами будівельних робіт;</w:t>
      </w:r>
    </w:p>
    <w:p w14:paraId="352805CC" w14:textId="1756B2FE" w:rsidR="005D4B22" w:rsidRPr="00D95E71" w:rsidRDefault="005D4B22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Формування підходів до поділу на лоти (групування об’єктів та обсягів) у процедурах проведення закупівель;</w:t>
      </w:r>
    </w:p>
    <w:p w14:paraId="6D8338A1" w14:textId="7EA7BC2F" w:rsidR="005D4B22" w:rsidRDefault="00266D30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Надання експертних висновків щодо стандартних інженерних рішень (доцільність для ринку та можливий рівень конкуренції);</w:t>
      </w:r>
    </w:p>
    <w:p w14:paraId="5EEA9CC7" w14:textId="56015ED9" w:rsidR="00546AFD" w:rsidRPr="00D95E71" w:rsidRDefault="00546AFD" w:rsidP="00546AFD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Проведення аналізу цін </w:t>
      </w:r>
      <w:r w:rsidR="000530B9">
        <w:rPr>
          <w:rFonts w:ascii="Verdana" w:hAnsi="Verdana"/>
          <w:color w:val="000000"/>
          <w:sz w:val="20"/>
          <w:szCs w:val="20"/>
        </w:rPr>
        <w:t xml:space="preserve">у </w:t>
      </w:r>
      <w:r>
        <w:rPr>
          <w:rFonts w:ascii="Verdana" w:hAnsi="Verdana"/>
          <w:color w:val="000000"/>
          <w:sz w:val="20"/>
          <w:szCs w:val="20"/>
        </w:rPr>
        <w:t xml:space="preserve">процедурах проведення закупівель РПВ (моніторинг </w:t>
      </w:r>
      <w:r w:rsidR="000530B9">
        <w:rPr>
          <w:rFonts w:ascii="Verdana" w:hAnsi="Verdana"/>
          <w:color w:val="000000"/>
          <w:sz w:val="20"/>
          <w:szCs w:val="20"/>
        </w:rPr>
        <w:t xml:space="preserve">і </w:t>
      </w:r>
      <w:r>
        <w:rPr>
          <w:rFonts w:ascii="Verdana" w:hAnsi="Verdana"/>
          <w:color w:val="000000"/>
          <w:sz w:val="20"/>
          <w:szCs w:val="20"/>
        </w:rPr>
        <w:t>порівняння цін на ринку);</w:t>
      </w:r>
    </w:p>
    <w:p w14:paraId="5E2072C5" w14:textId="27EE5196" w:rsidR="005D4B22" w:rsidRPr="00D95E71" w:rsidRDefault="009032B6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Формування категорійних стратегій для основних предметів закупівель;</w:t>
      </w:r>
    </w:p>
    <w:p w14:paraId="1DDFDA31" w14:textId="7CBCBFAE" w:rsidR="005D4B22" w:rsidRPr="00D95E71" w:rsidRDefault="009032B6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Підтримка та розвиток системи проведення ринкових консультацій отримання зворотного зв’язку від цільового ринку;</w:t>
      </w:r>
    </w:p>
    <w:p w14:paraId="09CB59FD" w14:textId="70126E65" w:rsidR="0062031E" w:rsidRPr="00D95E71" w:rsidRDefault="009032B6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Участь у створенні та розробленні систем контролю якості та виконання договорів (технічний нагляд, інженерне/технічне консультування, вхідний контроль);</w:t>
      </w:r>
    </w:p>
    <w:p w14:paraId="3B30224F" w14:textId="7257BFA3" w:rsidR="007B7F13" w:rsidRPr="00D95E71" w:rsidRDefault="0014092C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Підтрим</w:t>
      </w:r>
      <w:r w:rsidR="008D41A2">
        <w:rPr>
          <w:rFonts w:ascii="Verdana" w:hAnsi="Verdana"/>
          <w:color w:val="000000"/>
          <w:sz w:val="20"/>
          <w:szCs w:val="20"/>
        </w:rPr>
        <w:t>ка</w:t>
      </w:r>
      <w:r>
        <w:rPr>
          <w:rFonts w:ascii="Verdana" w:hAnsi="Verdana"/>
          <w:color w:val="000000"/>
          <w:sz w:val="20"/>
          <w:szCs w:val="20"/>
        </w:rPr>
        <w:t xml:space="preserve"> реалізації категорійних стратегій у проведенні закупівель </w:t>
      </w:r>
      <w:r w:rsidR="000530B9">
        <w:rPr>
          <w:rFonts w:ascii="Verdana" w:hAnsi="Verdana"/>
          <w:color w:val="000000"/>
          <w:sz w:val="20"/>
          <w:szCs w:val="20"/>
        </w:rPr>
        <w:t xml:space="preserve">у </w:t>
      </w:r>
      <w:r>
        <w:rPr>
          <w:rFonts w:ascii="Verdana" w:hAnsi="Verdana"/>
          <w:color w:val="000000"/>
          <w:sz w:val="20"/>
          <w:szCs w:val="20"/>
        </w:rPr>
        <w:t>рамках антикорупційн</w:t>
      </w:r>
      <w:r w:rsidR="008D41A2">
        <w:rPr>
          <w:rFonts w:ascii="Verdana" w:hAnsi="Verdana"/>
          <w:color w:val="000000"/>
          <w:sz w:val="20"/>
          <w:szCs w:val="20"/>
        </w:rPr>
        <w:t>их програм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8D41A2">
        <w:rPr>
          <w:rFonts w:ascii="Verdana" w:hAnsi="Verdana"/>
          <w:color w:val="000000"/>
          <w:sz w:val="20"/>
          <w:szCs w:val="20"/>
        </w:rPr>
        <w:t>регіональних підрозділів Агентства відновлення</w:t>
      </w:r>
      <w:r>
        <w:rPr>
          <w:rFonts w:ascii="Verdana" w:hAnsi="Verdana"/>
          <w:color w:val="000000"/>
          <w:sz w:val="20"/>
          <w:szCs w:val="20"/>
        </w:rPr>
        <w:t xml:space="preserve">; </w:t>
      </w:r>
    </w:p>
    <w:p w14:paraId="3B302252" w14:textId="77777777" w:rsidR="007B7F13" w:rsidRPr="00D95E71" w:rsidRDefault="006B7E9B" w:rsidP="001731EF">
      <w:pPr>
        <w:spacing w:after="20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Виявлення корупційних ризиків та надання пропозицій щодо заходів, спрямованих на їх усунення;</w:t>
      </w:r>
    </w:p>
    <w:p w14:paraId="3B302255" w14:textId="37E4547C" w:rsidR="007B7F13" w:rsidRPr="00D95E71" w:rsidRDefault="008D41A2" w:rsidP="001731EF">
      <w:pPr>
        <w:spacing w:after="200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Розробка</w:t>
      </w:r>
      <w:r w:rsidR="006B7E9B">
        <w:rPr>
          <w:rFonts w:ascii="Verdana" w:hAnsi="Verdana"/>
          <w:color w:val="000000"/>
          <w:sz w:val="20"/>
          <w:szCs w:val="20"/>
        </w:rPr>
        <w:t xml:space="preserve"> та впровадження навчального плану для менеджерів із закупівель та уповноважених осіб </w:t>
      </w:r>
      <w:r>
        <w:rPr>
          <w:rFonts w:ascii="Verdana" w:hAnsi="Verdana"/>
          <w:color w:val="000000"/>
          <w:sz w:val="20"/>
          <w:szCs w:val="20"/>
        </w:rPr>
        <w:t>територіальних органів</w:t>
      </w:r>
      <w:r w:rsidR="006B7E9B">
        <w:rPr>
          <w:rFonts w:ascii="Verdana" w:hAnsi="Verdana"/>
          <w:color w:val="000000"/>
          <w:sz w:val="20"/>
          <w:szCs w:val="20"/>
        </w:rPr>
        <w:t xml:space="preserve"> Агентства з питань категорійних ст</w:t>
      </w:r>
      <w:r>
        <w:rPr>
          <w:rFonts w:ascii="Verdana" w:hAnsi="Verdana"/>
          <w:color w:val="000000"/>
          <w:sz w:val="20"/>
          <w:szCs w:val="20"/>
        </w:rPr>
        <w:t xml:space="preserve">ратегій у проведенні </w:t>
      </w:r>
      <w:proofErr w:type="spellStart"/>
      <w:r>
        <w:rPr>
          <w:rFonts w:ascii="Verdana" w:hAnsi="Verdana"/>
          <w:color w:val="000000"/>
          <w:sz w:val="20"/>
          <w:szCs w:val="20"/>
        </w:rPr>
        <w:t>закупівель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14:paraId="3B302257" w14:textId="0E220005" w:rsidR="007B7F13" w:rsidRDefault="007B7F13">
      <w:pPr>
        <w:spacing w:after="200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58" w14:textId="77777777" w:rsidR="007B7F13" w:rsidRPr="00D95E71" w:rsidRDefault="006B7E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Очікувані результати діяльності:</w:t>
      </w:r>
    </w:p>
    <w:p w14:paraId="420AF8E4" w14:textId="60D81A1F" w:rsidR="00871FAB" w:rsidRDefault="00871FAB" w:rsidP="00871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Результати діяльності представлено нижче у таблиці 1 разом з орієнтовними строками виконання завдань. Очікується, що </w:t>
      </w:r>
      <w:r w:rsidR="000530B9">
        <w:rPr>
          <w:rFonts w:ascii="Verdana" w:hAnsi="Verdana"/>
          <w:color w:val="000000"/>
          <w:sz w:val="20"/>
          <w:szCs w:val="20"/>
        </w:rPr>
        <w:t xml:space="preserve">всі </w:t>
      </w:r>
      <w:r>
        <w:rPr>
          <w:rFonts w:ascii="Verdana" w:hAnsi="Verdana"/>
          <w:color w:val="000000"/>
          <w:sz w:val="20"/>
          <w:szCs w:val="20"/>
        </w:rPr>
        <w:t xml:space="preserve">результати надаватимуться українською мовою, якщо не домовлено про інше. Електронні копії мають бути надіслані контактній особі EUACI електронною поштою. </w:t>
      </w:r>
    </w:p>
    <w:p w14:paraId="39FB2AFB" w14:textId="77777777" w:rsidR="00871FAB" w:rsidRPr="001F2308" w:rsidRDefault="00871FAB" w:rsidP="00871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3ACA517" w14:textId="77777777" w:rsidR="00871FAB" w:rsidRDefault="00871FAB" w:rsidP="00871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Таблиця 1: Стислий огляд результатів / продуктів діяльності та орієнтовні строки виконання поставлених завдань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5"/>
        <w:gridCol w:w="6198"/>
        <w:gridCol w:w="2961"/>
      </w:tblGrid>
      <w:tr w:rsidR="00871FAB" w:rsidRPr="00796E1E" w14:paraId="5F68FE71" w14:textId="77777777" w:rsidTr="009B5E05">
        <w:trPr>
          <w:tblHeader/>
        </w:trPr>
        <w:tc>
          <w:tcPr>
            <w:tcW w:w="421" w:type="dxa"/>
          </w:tcPr>
          <w:p w14:paraId="41464F41" w14:textId="77777777" w:rsidR="00871FAB" w:rsidRPr="00796E1E" w:rsidRDefault="00871FAB" w:rsidP="00EA29AF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14:paraId="415B39AB" w14:textId="77777777" w:rsidR="00871FAB" w:rsidRPr="00796E1E" w:rsidRDefault="00871FAB" w:rsidP="00EA29AF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Результат / продукт</w:t>
            </w:r>
          </w:p>
        </w:tc>
        <w:tc>
          <w:tcPr>
            <w:tcW w:w="2976" w:type="dxa"/>
          </w:tcPr>
          <w:p w14:paraId="63C032C8" w14:textId="77777777" w:rsidR="00871FAB" w:rsidRPr="00796E1E" w:rsidRDefault="00871FAB" w:rsidP="00EA29AF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Строки виконання</w:t>
            </w:r>
          </w:p>
        </w:tc>
      </w:tr>
      <w:tr w:rsidR="00871FAB" w14:paraId="35871465" w14:textId="77777777" w:rsidTr="00EA29AF">
        <w:tc>
          <w:tcPr>
            <w:tcW w:w="421" w:type="dxa"/>
          </w:tcPr>
          <w:p w14:paraId="41C74358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46F6E86" w14:textId="5D6F07BA" w:rsidR="00871FAB" w:rsidRDefault="00871FAB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Звіт </w:t>
            </w:r>
            <w:r w:rsidR="000530B9">
              <w:rPr>
                <w:rFonts w:ascii="Verdana" w:hAnsi="Verdana"/>
                <w:color w:val="000000"/>
                <w:sz w:val="20"/>
                <w:szCs w:val="20"/>
              </w:rPr>
              <w:t>і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з рекомендаціями щодо кваліфікаційних критеріїв (обладнання, персонал, досвід, фінансова спроможність) за видами будівельних робіт </w:t>
            </w:r>
            <w:r w:rsidR="000530B9">
              <w:rPr>
                <w:rFonts w:ascii="Verdana" w:hAnsi="Verdana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сегментами будівництва</w:t>
            </w:r>
          </w:p>
        </w:tc>
        <w:tc>
          <w:tcPr>
            <w:tcW w:w="2976" w:type="dxa"/>
          </w:tcPr>
          <w:p w14:paraId="11EFBF35" w14:textId="7C544CE7" w:rsidR="00871FAB" w:rsidRDefault="00A100F8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 тижнів після підписання договору</w:t>
            </w:r>
          </w:p>
        </w:tc>
      </w:tr>
      <w:tr w:rsidR="00871FAB" w14:paraId="64BC08B9" w14:textId="77777777" w:rsidTr="00EA29AF">
        <w:tc>
          <w:tcPr>
            <w:tcW w:w="421" w:type="dxa"/>
          </w:tcPr>
          <w:p w14:paraId="1A262CC1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58F9538" w14:textId="441BFD68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команд </w:t>
            </w:r>
            <w:r w:rsidR="008D41A2">
              <w:rPr>
                <w:rFonts w:ascii="Verdana" w:hAnsi="Verdana"/>
                <w:color w:val="000000"/>
                <w:sz w:val="20"/>
                <w:szCs w:val="20"/>
              </w:rPr>
              <w:t>Служб</w:t>
            </w:r>
            <w:r w:rsidR="008D41A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0530B9">
              <w:rPr>
                <w:rFonts w:ascii="Verdana" w:hAnsi="Verdana"/>
                <w:color w:val="000000"/>
                <w:sz w:val="20"/>
                <w:szCs w:val="20"/>
              </w:rPr>
              <w:t>і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з проведення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менторство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та консультаційна підтримка</w:t>
            </w:r>
          </w:p>
        </w:tc>
        <w:tc>
          <w:tcPr>
            <w:tcW w:w="2976" w:type="dxa"/>
          </w:tcPr>
          <w:p w14:paraId="305C6C85" w14:textId="31A6C83D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Протягом 8-12 тижнів проєкту</w:t>
            </w:r>
          </w:p>
        </w:tc>
      </w:tr>
      <w:tr w:rsidR="00871FAB" w14:paraId="70D31CDC" w14:textId="77777777" w:rsidTr="00EA29AF">
        <w:tc>
          <w:tcPr>
            <w:tcW w:w="421" w:type="dxa"/>
          </w:tcPr>
          <w:p w14:paraId="1CA79C51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524939C" w14:textId="77777777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Звіт за результатами впровадження рекомендованих кваліфікаційних критеріїв</w:t>
            </w:r>
          </w:p>
        </w:tc>
        <w:tc>
          <w:tcPr>
            <w:tcW w:w="2976" w:type="dxa"/>
          </w:tcPr>
          <w:p w14:paraId="473FACC0" w14:textId="1E9882D4" w:rsidR="00871FAB" w:rsidRDefault="00A100F8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 тижнів після підписання договору</w:t>
            </w:r>
          </w:p>
        </w:tc>
      </w:tr>
      <w:tr w:rsidR="00871FAB" w14:paraId="08DDE912" w14:textId="77777777" w:rsidTr="00EA29AF">
        <w:tc>
          <w:tcPr>
            <w:tcW w:w="421" w:type="dxa"/>
          </w:tcPr>
          <w:p w14:paraId="310E8F4E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69C5FCE" w14:textId="07885D11" w:rsidR="00871FAB" w:rsidRDefault="00871FAB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Звіт за результатами попередніх 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передтендерних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) ринкових консультацій та рекомендацій щодо </w:t>
            </w:r>
            <w:r w:rsidR="000530B9">
              <w:rPr>
                <w:rFonts w:ascii="Verdana" w:hAnsi="Verdana"/>
                <w:color w:val="000000"/>
                <w:sz w:val="20"/>
                <w:szCs w:val="20"/>
              </w:rPr>
              <w:t xml:space="preserve">вдосконалення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тендерної документації</w:t>
            </w:r>
          </w:p>
        </w:tc>
        <w:tc>
          <w:tcPr>
            <w:tcW w:w="2976" w:type="dxa"/>
          </w:tcPr>
          <w:p w14:paraId="08142BB8" w14:textId="6B61F742" w:rsidR="00871FAB" w:rsidRDefault="00A100F8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 тижнів після підписання договору</w:t>
            </w:r>
          </w:p>
        </w:tc>
      </w:tr>
      <w:tr w:rsidR="00E35EB4" w14:paraId="370063C8" w14:textId="77777777" w:rsidTr="00EA29AF">
        <w:tc>
          <w:tcPr>
            <w:tcW w:w="421" w:type="dxa"/>
          </w:tcPr>
          <w:p w14:paraId="6A19B895" w14:textId="77777777" w:rsidR="00E35EB4" w:rsidRDefault="00E35EB4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CB0AAF" w14:textId="5F4130C7" w:rsidR="00E35EB4" w:rsidRDefault="00E35EB4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Рекомендації щодо підходів до поділу на лоти (групування об’єктів та обсягів) у процедурах проведення закупівель</w:t>
            </w:r>
          </w:p>
        </w:tc>
        <w:tc>
          <w:tcPr>
            <w:tcW w:w="2976" w:type="dxa"/>
          </w:tcPr>
          <w:p w14:paraId="4365E49E" w14:textId="69BAACE6" w:rsidR="00E35EB4" w:rsidRDefault="00E35EB4" w:rsidP="00E35EB4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 тижнів після підписання договору</w:t>
            </w:r>
          </w:p>
        </w:tc>
      </w:tr>
      <w:tr w:rsidR="00C21373" w14:paraId="2654FA46" w14:textId="77777777" w:rsidTr="00B624DB">
        <w:trPr>
          <w:trHeight w:val="808"/>
        </w:trPr>
        <w:tc>
          <w:tcPr>
            <w:tcW w:w="421" w:type="dxa"/>
          </w:tcPr>
          <w:p w14:paraId="3E373913" w14:textId="77777777" w:rsidR="00C21373" w:rsidRDefault="00C21373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79562CB" w14:textId="6C7D004C" w:rsidR="00C21373" w:rsidRDefault="00C21373" w:rsidP="00B624DB">
            <w:pPr>
              <w:spacing w:after="20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Рекомендації щодо створення та розроблення систем контролю якості та виконання договорів (технічний нагляд, інженерне/технічне консультування, вхідний контроль)</w:t>
            </w:r>
          </w:p>
        </w:tc>
        <w:tc>
          <w:tcPr>
            <w:tcW w:w="2976" w:type="dxa"/>
          </w:tcPr>
          <w:p w14:paraId="68FBFE3B" w14:textId="672ABD11" w:rsidR="00C21373" w:rsidRDefault="00C21373" w:rsidP="00C21373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 тижні після підписання договору</w:t>
            </w:r>
          </w:p>
        </w:tc>
      </w:tr>
      <w:tr w:rsidR="00871FAB" w14:paraId="736A9517" w14:textId="77777777" w:rsidTr="00EA29AF">
        <w:tc>
          <w:tcPr>
            <w:tcW w:w="421" w:type="dxa"/>
          </w:tcPr>
          <w:p w14:paraId="444305FF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A49D2CA" w14:textId="77777777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Розроблені категорійні стратегії для 2 обраних категорій закупівель</w:t>
            </w:r>
          </w:p>
        </w:tc>
        <w:tc>
          <w:tcPr>
            <w:tcW w:w="2976" w:type="dxa"/>
          </w:tcPr>
          <w:p w14:paraId="5D287057" w14:textId="2CA9F794" w:rsidR="00871FAB" w:rsidRDefault="00A100F8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 тижнів після підписання договору</w:t>
            </w:r>
          </w:p>
        </w:tc>
      </w:tr>
      <w:tr w:rsidR="00871FAB" w14:paraId="24BC0EE3" w14:textId="77777777" w:rsidTr="00EA29AF">
        <w:tc>
          <w:tcPr>
            <w:tcW w:w="421" w:type="dxa"/>
          </w:tcPr>
          <w:p w14:paraId="5AE68B3D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97894FA" w14:textId="62AC7A3B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Навчання команд </w:t>
            </w:r>
            <w:r w:rsidR="008D41A2">
              <w:rPr>
                <w:rFonts w:ascii="Verdana" w:hAnsi="Verdana"/>
                <w:color w:val="000000"/>
                <w:sz w:val="20"/>
                <w:szCs w:val="20"/>
              </w:rPr>
              <w:t>Служб</w:t>
            </w:r>
            <w:r w:rsidR="008D41A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0530B9">
              <w:rPr>
                <w:rFonts w:ascii="Verdana" w:hAnsi="Verdana"/>
                <w:color w:val="000000"/>
                <w:sz w:val="20"/>
                <w:szCs w:val="20"/>
              </w:rPr>
              <w:t>і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з проведення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менторство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та консультаційна підтримка з питань реалізації категорійних стратегій</w:t>
            </w:r>
          </w:p>
        </w:tc>
        <w:tc>
          <w:tcPr>
            <w:tcW w:w="2976" w:type="dxa"/>
          </w:tcPr>
          <w:p w14:paraId="01F8114B" w14:textId="22BEB1A6" w:rsidR="00871FAB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Протягом 26-28 тижнів проєкту</w:t>
            </w:r>
          </w:p>
        </w:tc>
      </w:tr>
      <w:tr w:rsidR="00871FAB" w14:paraId="57886B1B" w14:textId="77777777" w:rsidTr="00EA29AF">
        <w:tc>
          <w:tcPr>
            <w:tcW w:w="421" w:type="dxa"/>
          </w:tcPr>
          <w:p w14:paraId="5D93ED7C" w14:textId="77777777" w:rsidR="00871FAB" w:rsidRDefault="00871FAB" w:rsidP="00EA29AF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0AA8C8" w14:textId="77777777" w:rsidR="00871FAB" w:rsidRPr="00C01CBC" w:rsidRDefault="00871FAB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Звіт за результатами реалізації категорійних стратегій</w:t>
            </w:r>
          </w:p>
        </w:tc>
        <w:tc>
          <w:tcPr>
            <w:tcW w:w="2976" w:type="dxa"/>
          </w:tcPr>
          <w:p w14:paraId="26F9C85D" w14:textId="1828A5A7" w:rsidR="00871FAB" w:rsidRDefault="00A100F8" w:rsidP="00EA29AF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 тижнів після підписання договору</w:t>
            </w:r>
          </w:p>
        </w:tc>
      </w:tr>
      <w:tr w:rsidR="00C21373" w14:paraId="188BE126" w14:textId="77777777" w:rsidTr="00EA29AF">
        <w:tc>
          <w:tcPr>
            <w:tcW w:w="421" w:type="dxa"/>
          </w:tcPr>
          <w:p w14:paraId="36799EB7" w14:textId="77777777" w:rsidR="00C21373" w:rsidRDefault="00C21373" w:rsidP="00C21373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2CA97F0" w14:textId="7193D314" w:rsidR="00C21373" w:rsidRDefault="00C21373" w:rsidP="00C21373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Рекомендації, що включають виявлення корупційних ризиків та надання пропозицій щодо заходів, спрямованих на їх усунення</w:t>
            </w:r>
          </w:p>
        </w:tc>
        <w:tc>
          <w:tcPr>
            <w:tcW w:w="2976" w:type="dxa"/>
          </w:tcPr>
          <w:p w14:paraId="6133BAA3" w14:textId="195B88A8" w:rsidR="00C21373" w:rsidRDefault="00C21373" w:rsidP="00C21373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 тиждень після підписання договору</w:t>
            </w:r>
          </w:p>
        </w:tc>
      </w:tr>
      <w:tr w:rsidR="00C21373" w14:paraId="3FC74138" w14:textId="77777777" w:rsidTr="00EA29AF">
        <w:tc>
          <w:tcPr>
            <w:tcW w:w="421" w:type="dxa"/>
          </w:tcPr>
          <w:p w14:paraId="2781C40D" w14:textId="77777777" w:rsidR="00C21373" w:rsidRDefault="00C21373" w:rsidP="00C21373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84AE703" w14:textId="77777777" w:rsidR="00C21373" w:rsidRDefault="00C21373" w:rsidP="00C21373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Підсумковий звіт</w:t>
            </w:r>
          </w:p>
        </w:tc>
        <w:tc>
          <w:tcPr>
            <w:tcW w:w="2976" w:type="dxa"/>
          </w:tcPr>
          <w:p w14:paraId="2C8D3216" w14:textId="4F9C3D07" w:rsidR="00C21373" w:rsidRDefault="00C21373" w:rsidP="00C21373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 тижні після підписання договору</w:t>
            </w:r>
          </w:p>
        </w:tc>
      </w:tr>
    </w:tbl>
    <w:p w14:paraId="5A1DE945" w14:textId="77777777" w:rsidR="00871FAB" w:rsidRPr="001F2308" w:rsidRDefault="00871FAB" w:rsidP="00871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8AD36F" w14:textId="1566F745" w:rsidR="00871FAB" w:rsidRPr="00366E35" w:rsidRDefault="00871FAB" w:rsidP="00B553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Строки виконання завдань, наведені вище у таблиці, є орієнтовними. Експерт аналізуватиме та оновлюватиме строки виконання завдань для різних видів діяльності під час </w:t>
      </w:r>
      <w:r w:rsidR="000530B9">
        <w:rPr>
          <w:rFonts w:ascii="Verdana" w:hAnsi="Verdana"/>
          <w:color w:val="000000"/>
          <w:sz w:val="20"/>
          <w:szCs w:val="20"/>
        </w:rPr>
        <w:t xml:space="preserve">підготування </w:t>
      </w:r>
      <w:r>
        <w:rPr>
          <w:rFonts w:ascii="Verdana" w:hAnsi="Verdana"/>
          <w:color w:val="000000"/>
          <w:sz w:val="20"/>
          <w:szCs w:val="20"/>
        </w:rPr>
        <w:t xml:space="preserve">та оновлення плану роботи Експерта, котрий повинен бути затверджений EUACI. Інші результати діяльності можуть бути визначені за домовленістю з Агентством та EUACI. </w:t>
      </w:r>
    </w:p>
    <w:p w14:paraId="30F1BF5E" w14:textId="77315759" w:rsidR="00DA322F" w:rsidRDefault="00DA322F" w:rsidP="00DA322F">
      <w:pPr>
        <w:spacing w:after="20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Посада передбачатиме деякі відрядження, зокрема до </w:t>
      </w:r>
      <w:r w:rsidR="008D41A2">
        <w:rPr>
          <w:rFonts w:ascii="Verdana" w:hAnsi="Verdana"/>
          <w:color w:val="000000"/>
          <w:sz w:val="20"/>
          <w:szCs w:val="20"/>
        </w:rPr>
        <w:t xml:space="preserve">регіональних </w:t>
      </w:r>
      <w:r w:rsidR="008D41A2">
        <w:rPr>
          <w:rFonts w:ascii="Verdana" w:hAnsi="Verdana"/>
          <w:color w:val="000000"/>
          <w:sz w:val="20"/>
          <w:szCs w:val="20"/>
        </w:rPr>
        <w:t>Служб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B30225D" w14:textId="77777777" w:rsidR="007B7F13" w:rsidRPr="00D95E71" w:rsidRDefault="007B7F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C39263A" w14:textId="77777777" w:rsidR="00DA322F" w:rsidRDefault="00DA322F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30j0zll"/>
      <w:bookmarkStart w:id="1" w:name="_gjdgxs"/>
      <w:bookmarkEnd w:id="0"/>
      <w:bookmarkEnd w:id="1"/>
    </w:p>
    <w:p w14:paraId="3B30225E" w14:textId="4547529D" w:rsidR="007B7F13" w:rsidRPr="00D95E71" w:rsidRDefault="006B7E9B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Строки виконання</w:t>
      </w:r>
    </w:p>
    <w:p w14:paraId="3B30225F" w14:textId="77777777" w:rsidR="007B7F13" w:rsidRPr="00D95E71" w:rsidRDefault="007B7F13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B302260" w14:textId="310AAA88" w:rsidR="007B7F13" w:rsidRPr="00D95E71" w:rsidRDefault="006B7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Передбачається, що співпраця з експертом розпочнеться з моменту підписання договору і триватиме упродовж терміну виконання договору тривалістю у </w:t>
      </w:r>
      <w:r>
        <w:rPr>
          <w:rFonts w:ascii="Verdana" w:hAnsi="Verdana"/>
          <w:b/>
          <w:bCs/>
          <w:color w:val="000000"/>
          <w:sz w:val="20"/>
          <w:szCs w:val="20"/>
        </w:rPr>
        <w:t>8 місяців</w:t>
      </w:r>
      <w:r>
        <w:rPr>
          <w:rFonts w:ascii="Verdana" w:hAnsi="Verdana"/>
          <w:color w:val="000000"/>
          <w:sz w:val="20"/>
          <w:szCs w:val="20"/>
        </w:rPr>
        <w:t xml:space="preserve">, який передбачатиме </w:t>
      </w:r>
      <w:r>
        <w:rPr>
          <w:rFonts w:ascii="Verdana" w:hAnsi="Verdana"/>
          <w:b/>
          <w:bCs/>
          <w:color w:val="000000"/>
          <w:sz w:val="20"/>
          <w:szCs w:val="20"/>
        </w:rPr>
        <w:t>160 робочих днів</w:t>
      </w:r>
      <w:r>
        <w:rPr>
          <w:rFonts w:ascii="Verdana" w:hAnsi="Verdana"/>
          <w:color w:val="000000"/>
          <w:sz w:val="20"/>
          <w:szCs w:val="20"/>
        </w:rPr>
        <w:t xml:space="preserve">, включаючи до 40 днів перебування у </w:t>
      </w:r>
      <w:proofErr w:type="spellStart"/>
      <w:r>
        <w:rPr>
          <w:rFonts w:ascii="Verdana" w:hAnsi="Verdana"/>
          <w:color w:val="000000"/>
          <w:sz w:val="20"/>
          <w:szCs w:val="20"/>
        </w:rPr>
        <w:t>відрядженнях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Співпрацю може буде подовжено на </w:t>
      </w:r>
      <w:r w:rsidR="00373AFF">
        <w:rPr>
          <w:rFonts w:ascii="Verdana" w:hAnsi="Verdana"/>
          <w:color w:val="000000"/>
          <w:sz w:val="20"/>
          <w:szCs w:val="20"/>
        </w:rPr>
        <w:t>прохання</w:t>
      </w:r>
      <w:r>
        <w:rPr>
          <w:rFonts w:ascii="Verdana" w:hAnsi="Verdana"/>
          <w:color w:val="000000"/>
          <w:sz w:val="20"/>
          <w:szCs w:val="20"/>
        </w:rPr>
        <w:t xml:space="preserve"> Агентства та за позитивними висновками </w:t>
      </w:r>
      <w:r w:rsidR="000530B9">
        <w:rPr>
          <w:rFonts w:ascii="Verdana" w:hAnsi="Verdana"/>
          <w:color w:val="000000"/>
          <w:sz w:val="20"/>
          <w:szCs w:val="20"/>
        </w:rPr>
        <w:t xml:space="preserve">оцінювання </w:t>
      </w:r>
      <w:r>
        <w:rPr>
          <w:rFonts w:ascii="Verdana" w:hAnsi="Verdana"/>
          <w:color w:val="000000"/>
          <w:sz w:val="20"/>
          <w:szCs w:val="20"/>
        </w:rPr>
        <w:t xml:space="preserve">роботи. </w:t>
      </w:r>
    </w:p>
    <w:p w14:paraId="3B302261" w14:textId="77777777" w:rsidR="007B7F13" w:rsidRPr="00D95E71" w:rsidRDefault="006B7E9B">
      <w:pPr>
        <w:shd w:val="clear" w:color="auto" w:fill="FFFFFF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Вимоги до суб’єкта надання послуг</w:t>
      </w:r>
    </w:p>
    <w:p w14:paraId="5D390844" w14:textId="77777777" w:rsidR="00564930" w:rsidRDefault="00564930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63" w14:textId="3E6C5656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Договір буде укладено з експертом, який відповідає наступним критеріям: </w:t>
      </w:r>
    </w:p>
    <w:p w14:paraId="3B302264" w14:textId="77777777" w:rsidR="007B7F13" w:rsidRPr="00D95E71" w:rsidRDefault="006B7E9B">
      <w:pPr>
        <w:pStyle w:val="Heading2"/>
        <w:rPr>
          <w:rFonts w:ascii="Verdana" w:eastAsia="Verdana" w:hAnsi="Verdana" w:cs="Verdana"/>
          <w:b w:val="0"/>
          <w:sz w:val="20"/>
          <w:szCs w:val="20"/>
          <w:u w:val="single"/>
        </w:rPr>
      </w:pPr>
      <w:r>
        <w:rPr>
          <w:rFonts w:ascii="Verdana" w:hAnsi="Verdana"/>
          <w:b w:val="0"/>
          <w:sz w:val="20"/>
          <w:szCs w:val="20"/>
          <w:u w:val="single"/>
        </w:rPr>
        <w:t xml:space="preserve">Загальні вимоги до кваліфікації кандидатів: </w:t>
      </w:r>
    </w:p>
    <w:p w14:paraId="3B302265" w14:textId="666C0E3D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обов’язковий ступінь магістра або спеціаліста за спеціальністю «Будівництво», «Інженерія», «Економіка» або іншої подібної галузі, </w:t>
      </w:r>
    </w:p>
    <w:p w14:paraId="2500CC90" w14:textId="288BC0BA" w:rsidR="004270FE" w:rsidRPr="00D95E71" w:rsidRDefault="0042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наявність сертифікації за професіями будівельника або проєктувальника буде перевагою,</w:t>
      </w:r>
    </w:p>
    <w:p w14:paraId="7F00389F" w14:textId="1D05110E" w:rsidR="00C62123" w:rsidRPr="00D95E71" w:rsidRDefault="00C62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додаткова освіта або навчання у сфері публічних закупівель буде перевагою, </w:t>
      </w:r>
    </w:p>
    <w:p w14:paraId="3B302266" w14:textId="2C0DB59C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досвід роботи в будівельній галузі та управлінні проєктами, досвід проведення оцінювання корупційних та/або управлінських ризиків,</w:t>
      </w:r>
    </w:p>
    <w:p w14:paraId="3B302267" w14:textId="0383289E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досвід роботи у сфері публічних закупівель буде перевагою,</w:t>
      </w:r>
    </w:p>
    <w:p w14:paraId="3B302268" w14:textId="46DFF421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досвід у сфері проведення моніторингу/виконання Антикорупційної програми для державного та приватного секторів буде перевагою,</w:t>
      </w:r>
    </w:p>
    <w:p w14:paraId="3B302269" w14:textId="7CE6AC5C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відмінні навички письмової та усної комунікації</w:t>
      </w:r>
      <w:r w:rsidR="000530B9">
        <w:rPr>
          <w:rFonts w:ascii="Verdana" w:hAnsi="Verdana"/>
          <w:sz w:val="20"/>
          <w:szCs w:val="20"/>
        </w:rPr>
        <w:t>,</w:t>
      </w:r>
    </w:p>
    <w:p w14:paraId="3B30226A" w14:textId="386F2FD2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вільне володіння українською мовою є обов'язковим</w:t>
      </w:r>
      <w:r w:rsidR="000530B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3B30226B" w14:textId="1C8A626F" w:rsidR="007B7F13" w:rsidRPr="00D95E71" w:rsidRDefault="006B7E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вміння говорити </w:t>
      </w:r>
      <w:r w:rsidR="000530B9">
        <w:rPr>
          <w:rFonts w:ascii="Verdana" w:hAnsi="Verdana"/>
          <w:sz w:val="20"/>
          <w:szCs w:val="20"/>
        </w:rPr>
        <w:t xml:space="preserve">і </w:t>
      </w:r>
      <w:r>
        <w:rPr>
          <w:rFonts w:ascii="Verdana" w:hAnsi="Verdana"/>
          <w:sz w:val="20"/>
          <w:szCs w:val="20"/>
        </w:rPr>
        <w:t>писати англійською мовою буде перевагою.</w:t>
      </w:r>
    </w:p>
    <w:p w14:paraId="3B30226C" w14:textId="77777777" w:rsidR="007B7F13" w:rsidRPr="00D95E71" w:rsidRDefault="006B7E9B">
      <w:pPr>
        <w:pStyle w:val="Heading2"/>
        <w:rPr>
          <w:rFonts w:ascii="Verdana" w:eastAsia="Verdana" w:hAnsi="Verdana" w:cs="Verdana"/>
          <w:b w:val="0"/>
          <w:sz w:val="20"/>
          <w:szCs w:val="20"/>
          <w:u w:val="single"/>
        </w:rPr>
      </w:pPr>
      <w:r>
        <w:rPr>
          <w:rFonts w:ascii="Verdana" w:hAnsi="Verdana"/>
          <w:b w:val="0"/>
          <w:sz w:val="20"/>
          <w:szCs w:val="20"/>
          <w:u w:val="single"/>
        </w:rPr>
        <w:lastRenderedPageBreak/>
        <w:t>Відповідність посаді передбачає:</w:t>
      </w:r>
    </w:p>
    <w:p w14:paraId="3B30226D" w14:textId="03EEF952" w:rsidR="007B7F13" w:rsidRPr="00D95E71" w:rsidRDefault="006B7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щонайменше 5 (п’ять) років професійного досвіду роботи з будівельними проєктами, включаючи процедури проведення тендерів та публічних закупівель, а також у сфері бюджетного планування, оптимізації витрат </w:t>
      </w:r>
      <w:r w:rsidR="000530B9">
        <w:rPr>
          <w:rFonts w:ascii="Verdana" w:hAnsi="Verdana"/>
          <w:sz w:val="20"/>
          <w:szCs w:val="20"/>
        </w:rPr>
        <w:t xml:space="preserve">і </w:t>
      </w:r>
      <w:r>
        <w:rPr>
          <w:rFonts w:ascii="Verdana" w:hAnsi="Verdana"/>
          <w:sz w:val="20"/>
          <w:szCs w:val="20"/>
        </w:rPr>
        <w:t>нагляду за виконанням договорів;</w:t>
      </w:r>
    </w:p>
    <w:p w14:paraId="3B30226F" w14:textId="2BEC5A09" w:rsidR="007B7F13" w:rsidRDefault="006B7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підтверджений досвід співпраці із зацікавленими особами у національному уряді, в органах місцевого самоврядування, організаціях-партнерах із розвитку, державних підприємствах, державних установах та організаціях, що виступають замовниками у публічних </w:t>
      </w:r>
      <w:proofErr w:type="spellStart"/>
      <w:r>
        <w:rPr>
          <w:rFonts w:ascii="Verdana" w:hAnsi="Verdana"/>
          <w:color w:val="000000"/>
          <w:sz w:val="20"/>
          <w:szCs w:val="20"/>
        </w:rPr>
        <w:t>закупівлях</w:t>
      </w:r>
      <w:proofErr w:type="spellEnd"/>
      <w:r>
        <w:rPr>
          <w:rFonts w:ascii="Verdana" w:hAnsi="Verdana"/>
          <w:color w:val="000000"/>
          <w:sz w:val="20"/>
          <w:szCs w:val="20"/>
        </w:rPr>
        <w:t>, та у суспільстві;</w:t>
      </w:r>
    </w:p>
    <w:p w14:paraId="1F2FAFD5" w14:textId="77777777" w:rsidR="00B55365" w:rsidRPr="00B55365" w:rsidRDefault="006B7E9B" w:rsidP="00C40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наявність професійного досвіду у сфері реалізації категорійних стратегій у проведенні закупівель.</w:t>
      </w:r>
    </w:p>
    <w:p w14:paraId="3B302275" w14:textId="765E159A" w:rsidR="007B7F13" w:rsidRPr="00D95E71" w:rsidRDefault="006B7E9B" w:rsidP="009B5E0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Передбачається, що експерт працюватиме в </w:t>
      </w:r>
      <w:r w:rsidR="00373AFF">
        <w:rPr>
          <w:rFonts w:ascii="Verdana" w:hAnsi="Verdana"/>
          <w:color w:val="000000"/>
          <w:sz w:val="20"/>
          <w:szCs w:val="20"/>
        </w:rPr>
        <w:t>офісі</w:t>
      </w:r>
      <w:r>
        <w:rPr>
          <w:rFonts w:ascii="Verdana" w:hAnsi="Verdana"/>
          <w:color w:val="000000"/>
          <w:sz w:val="20"/>
          <w:szCs w:val="20"/>
        </w:rPr>
        <w:t xml:space="preserve"> Агентства із службовими </w:t>
      </w:r>
      <w:proofErr w:type="spellStart"/>
      <w:r>
        <w:rPr>
          <w:rFonts w:ascii="Verdana" w:hAnsi="Verdana"/>
          <w:color w:val="000000"/>
          <w:sz w:val="20"/>
          <w:szCs w:val="20"/>
        </w:rPr>
        <w:t>відрядження</w:t>
      </w:r>
      <w:r w:rsidR="007D6BCA">
        <w:rPr>
          <w:rFonts w:ascii="Verdana" w:hAnsi="Verdana"/>
          <w:color w:val="000000"/>
          <w:sz w:val="20"/>
          <w:szCs w:val="20"/>
        </w:rPr>
        <w:t>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 території України.</w:t>
      </w:r>
    </w:p>
    <w:p w14:paraId="3B302276" w14:textId="77777777" w:rsidR="007B7F13" w:rsidRPr="00D95E71" w:rsidRDefault="006B7E9B">
      <w:pPr>
        <w:spacing w:before="240" w:after="24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Моніторинг та оцінювання:</w:t>
      </w:r>
    </w:p>
    <w:p w14:paraId="3B302277" w14:textId="77777777" w:rsidR="007B7F13" w:rsidRPr="00D95E71" w:rsidRDefault="006B7E9B" w:rsidP="009B5E05">
      <w:pP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Визначення показників</w:t>
      </w:r>
    </w:p>
    <w:p w14:paraId="3B302278" w14:textId="77777777" w:rsidR="007B7F13" w:rsidRPr="00D95E71" w:rsidRDefault="006B7E9B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Ефективність роботи підрядника оцінюється за ступенем досягнення мети договору та ступенем отримання відповідних результатів згідно з розділами «Ціль» та «Очікувані результати діяльності». </w:t>
      </w:r>
    </w:p>
    <w:p w14:paraId="1B70F188" w14:textId="77777777" w:rsidR="00DA322F" w:rsidRDefault="00DA322F">
      <w:pPr>
        <w:spacing w:before="120" w:after="12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3B30227A" w14:textId="177C6D11" w:rsidR="007B7F13" w:rsidRPr="00D95E71" w:rsidRDefault="006B7E9B" w:rsidP="009B5E05">
      <w:pPr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Особливі вимоги</w:t>
      </w:r>
    </w:p>
    <w:p w14:paraId="3B30227B" w14:textId="520B487D" w:rsidR="007B7F13" w:rsidRPr="00D95E71" w:rsidRDefault="006B7E9B" w:rsidP="009B5E05">
      <w:pP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Укладаючи договір, підрядник (та його представники) погоджуються зберігати конфіденційність будь-якої інформації або документів (надалі «Конфіденційна інформація»), які розголошуються підряднику, стають відомими підряднику або готуються підрядником під час або в результаті виконання договору. Підрядник також погоджується використовувати зазначену інформацію або документи виключно у цілях виконання договору та не розголошувати їх третім особам без дозволу EUACI.</w:t>
      </w:r>
    </w:p>
    <w:p w14:paraId="5CAEFCE2" w14:textId="77777777" w:rsidR="00373AFF" w:rsidRDefault="006B7E9B" w:rsidP="009B5E05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bookmarkStart w:id="2" w:name="_1fob9te"/>
      <w:bookmarkEnd w:id="2"/>
      <w:r>
        <w:rPr>
          <w:rFonts w:ascii="Verdana" w:hAnsi="Verdana"/>
          <w:color w:val="000000"/>
          <w:sz w:val="20"/>
          <w:szCs w:val="20"/>
        </w:rPr>
        <w:t>Підрядник звітує Агентству та EUACI, голові ISG. Перед завершенням роботи у рамках завдання підрядник повинен відзвітувати EUACI про його результати.</w:t>
      </w:r>
    </w:p>
    <w:p w14:paraId="3B30227C" w14:textId="0F201414" w:rsidR="007B7F13" w:rsidRDefault="006B7E9B" w:rsidP="009B5E05">
      <w:pP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3B30227E" w14:textId="40285E17" w:rsidR="007B7F13" w:rsidRDefault="004159FD">
      <w:pPr>
        <w:jc w:val="both"/>
        <w:rPr>
          <w:rFonts w:ascii="Verdana" w:hAnsi="Verdana"/>
          <w:sz w:val="20"/>
          <w:szCs w:val="20"/>
          <w:u w:val="single"/>
        </w:rPr>
      </w:pPr>
      <w:bookmarkStart w:id="3" w:name="_Hlk141712584"/>
      <w:r>
        <w:rPr>
          <w:rFonts w:ascii="Verdana" w:hAnsi="Verdana"/>
          <w:sz w:val="20"/>
          <w:szCs w:val="20"/>
          <w:u w:val="single"/>
        </w:rPr>
        <w:t>Результати діяльності можуть перевірятися (в рамках забезпечення якості), а виплати здійснюватимуться за результатами перевірки якості.</w:t>
      </w:r>
    </w:p>
    <w:p w14:paraId="67AE7916" w14:textId="77777777" w:rsidR="00373AFF" w:rsidRPr="005D3B8F" w:rsidRDefault="00373AFF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4" w:name="_GoBack"/>
      <w:bookmarkEnd w:id="4"/>
    </w:p>
    <w:bookmarkEnd w:id="3"/>
    <w:p w14:paraId="3B30227F" w14:textId="77777777" w:rsidR="007B7F13" w:rsidRPr="00D95E71" w:rsidRDefault="006B7E9B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Деталі тендеру</w:t>
      </w:r>
    </w:p>
    <w:p w14:paraId="3B302280" w14:textId="77777777" w:rsidR="007B7F13" w:rsidRPr="00D95E71" w:rsidRDefault="006B7E9B">
      <w:pP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Учасник тендеру повинен надати таку інформацію для розгляду:</w:t>
      </w:r>
    </w:p>
    <w:p w14:paraId="3B302281" w14:textId="25BA2FBD" w:rsidR="007B7F13" w:rsidRPr="00D95E71" w:rsidRDefault="0037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Резюме</w:t>
      </w:r>
      <w:r w:rsidR="006B7E9B">
        <w:rPr>
          <w:rFonts w:ascii="Verdana" w:hAnsi="Verdana"/>
          <w:color w:val="000000"/>
          <w:sz w:val="20"/>
          <w:szCs w:val="20"/>
        </w:rPr>
        <w:t xml:space="preserve"> (не більше трьох сторінок) з описом попередніх відповідних завдань та ключових обов’язків, які виконувалися.</w:t>
      </w:r>
    </w:p>
    <w:p w14:paraId="3B302282" w14:textId="5C345138" w:rsidR="007B7F13" w:rsidRPr="00D95E71" w:rsidRDefault="006B7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Портфоліо з переліком завдань, подібних до цього проєкту, які було реалізовано упродовж останні п’яти років.</w:t>
      </w:r>
    </w:p>
    <w:p w14:paraId="3B302284" w14:textId="0CE060D7" w:rsidR="007B7F13" w:rsidRPr="000530B9" w:rsidRDefault="006B7E9B" w:rsidP="009B5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Бюджет щодо оплати послуг у євро, включаючи всі податки та </w:t>
      </w:r>
      <w:r w:rsidR="00373AFF">
        <w:rPr>
          <w:rFonts w:ascii="Verdana" w:hAnsi="Verdana"/>
          <w:color w:val="000000"/>
          <w:sz w:val="20"/>
          <w:szCs w:val="20"/>
        </w:rPr>
        <w:t>витрати, включно з витратами на відрядження</w:t>
      </w:r>
      <w:r>
        <w:rPr>
          <w:rFonts w:ascii="Verdana" w:hAnsi="Verdana"/>
          <w:color w:val="000000"/>
          <w:sz w:val="20"/>
          <w:szCs w:val="20"/>
        </w:rPr>
        <w:t>, із проведенням розрахунку на 160 робочих днів.</w:t>
      </w:r>
    </w:p>
    <w:p w14:paraId="3B302285" w14:textId="41DBDBD4" w:rsidR="007B7F13" w:rsidRPr="00D95E71" w:rsidRDefault="006B7E9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Бюджет за договором не може перевищувати 30 000 євро.</w:t>
      </w:r>
    </w:p>
    <w:p w14:paraId="3B302286" w14:textId="77777777" w:rsidR="007B7F13" w:rsidRPr="00D95E71" w:rsidRDefault="007B7F1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87" w14:textId="77777777" w:rsidR="007B7F13" w:rsidRPr="00D95E71" w:rsidRDefault="006B7E9B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Як подати пропозицію</w:t>
      </w:r>
    </w:p>
    <w:p w14:paraId="3B302288" w14:textId="089B6238" w:rsidR="007B7F13" w:rsidRPr="00D95E71" w:rsidRDefault="006B7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bookmarkStart w:id="5" w:name="_3znysh7"/>
      <w:bookmarkEnd w:id="5"/>
      <w:r>
        <w:rPr>
          <w:rFonts w:ascii="Verdana" w:hAnsi="Verdana"/>
          <w:color w:val="000000"/>
          <w:sz w:val="20"/>
          <w:szCs w:val="20"/>
        </w:rPr>
        <w:t>Кінцевий строк подання пропозицій — 2</w:t>
      </w:r>
      <w:r w:rsidR="00373AFF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 серпня 2023, 18:00 за київським часом. </w:t>
      </w:r>
    </w:p>
    <w:p w14:paraId="3B302289" w14:textId="38EAF845" w:rsidR="007B7F13" w:rsidRPr="00D95E71" w:rsidRDefault="006B7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Пропозиції надсилаються за адресою</w:t>
      </w:r>
      <w:r w:rsidR="000530B9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</w:rPr>
        <w:t>dmyiak@um.dk</w:t>
      </w:r>
      <w:r>
        <w:rPr>
          <w:rFonts w:ascii="Verdana" w:hAnsi="Verdana"/>
          <w:color w:val="000000"/>
          <w:sz w:val="20"/>
          <w:szCs w:val="20"/>
        </w:rPr>
        <w:t xml:space="preserve"> із зазначенням теми “</w:t>
      </w:r>
      <w:proofErr w:type="spellStart"/>
      <w:r>
        <w:rPr>
          <w:rFonts w:ascii="Verdana" w:hAnsi="Verdana"/>
          <w:color w:val="000000"/>
          <w:sz w:val="20"/>
          <w:szCs w:val="20"/>
        </w:rPr>
        <w:t>Procurement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Expert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Agency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у рамках визначеного кінцевого строку. </w:t>
      </w:r>
    </w:p>
    <w:p w14:paraId="3B30228A" w14:textId="77777777" w:rsidR="007B7F13" w:rsidRPr="00D95E71" w:rsidRDefault="006B7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Мова тендеру: Англійська або українська</w:t>
      </w:r>
    </w:p>
    <w:p w14:paraId="3B30228B" w14:textId="0EB349BA" w:rsidR="007B7F13" w:rsidRPr="000530B9" w:rsidRDefault="006B7E9B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bookmarkStart w:id="6" w:name="_2et92p0"/>
      <w:bookmarkEnd w:id="6"/>
      <w:r w:rsidRPr="009B5E05">
        <w:rPr>
          <w:rFonts w:ascii="Verdana" w:hAnsi="Verdana"/>
          <w:sz w:val="20"/>
          <w:szCs w:val="20"/>
        </w:rPr>
        <w:t xml:space="preserve">Усі додаткові запитання щодо </w:t>
      </w:r>
      <w:r w:rsidR="000530B9">
        <w:rPr>
          <w:rFonts w:ascii="Verdana" w:hAnsi="Verdana"/>
          <w:sz w:val="20"/>
          <w:szCs w:val="20"/>
        </w:rPr>
        <w:t>подання конкурсних пропозицій</w:t>
      </w:r>
      <w:r w:rsidRPr="009B5E05">
        <w:rPr>
          <w:rFonts w:ascii="Verdana" w:hAnsi="Verdana"/>
          <w:sz w:val="20"/>
          <w:szCs w:val="20"/>
        </w:rPr>
        <w:t xml:space="preserve"> слід надсилати за адресою</w:t>
      </w:r>
      <w:r w:rsidR="000530B9">
        <w:rPr>
          <w:rFonts w:ascii="Verdana" w:hAnsi="Verdana"/>
          <w:sz w:val="20"/>
          <w:szCs w:val="20"/>
        </w:rPr>
        <w:t>:</w:t>
      </w:r>
      <w:r w:rsidRPr="009B5E05">
        <w:rPr>
          <w:rFonts w:ascii="Verdana" w:hAnsi="Verdana"/>
          <w:sz w:val="20"/>
          <w:szCs w:val="20"/>
        </w:rPr>
        <w:t xml:space="preserve"> </w:t>
      </w:r>
      <w:r w:rsidRPr="009B5E05">
        <w:rPr>
          <w:rFonts w:ascii="Verdana" w:hAnsi="Verdana"/>
          <w:sz w:val="20"/>
          <w:szCs w:val="20"/>
          <w:u w:val="single"/>
        </w:rPr>
        <w:t>dmyiak@um.dk</w:t>
      </w:r>
      <w:r w:rsidRPr="009B5E05">
        <w:rPr>
          <w:rFonts w:ascii="Verdana" w:hAnsi="Verdana"/>
          <w:sz w:val="20"/>
          <w:szCs w:val="20"/>
        </w:rPr>
        <w:t xml:space="preserve"> не пізніше </w:t>
      </w:r>
      <w:bookmarkStart w:id="7" w:name="_Hlk141712622"/>
      <w:r w:rsidR="00373AFF">
        <w:rPr>
          <w:rFonts w:ascii="Verdana" w:hAnsi="Verdana"/>
          <w:color w:val="000000"/>
          <w:sz w:val="20"/>
          <w:szCs w:val="20"/>
        </w:rPr>
        <w:t>21</w:t>
      </w:r>
      <w:r w:rsidRPr="000530B9">
        <w:rPr>
          <w:rFonts w:ascii="Verdana" w:hAnsi="Verdana"/>
          <w:color w:val="000000"/>
          <w:sz w:val="20"/>
          <w:szCs w:val="20"/>
        </w:rPr>
        <w:t xml:space="preserve"> </w:t>
      </w:r>
      <w:r w:rsidRPr="009B5E05">
        <w:rPr>
          <w:rFonts w:ascii="Verdana" w:hAnsi="Verdana"/>
          <w:sz w:val="20"/>
          <w:szCs w:val="20"/>
        </w:rPr>
        <w:t>серпня 2023 року</w:t>
      </w:r>
      <w:bookmarkEnd w:id="7"/>
      <w:r w:rsidRPr="009B5E05">
        <w:rPr>
          <w:rFonts w:ascii="Verdana" w:hAnsi="Verdana"/>
          <w:sz w:val="20"/>
          <w:szCs w:val="20"/>
        </w:rPr>
        <w:t>, 18:00 за київським часом.</w:t>
      </w:r>
    </w:p>
    <w:p w14:paraId="3B30228C" w14:textId="77777777" w:rsidR="007B7F13" w:rsidRPr="000530B9" w:rsidRDefault="007B7F13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</w:p>
    <w:p w14:paraId="3B30228D" w14:textId="77777777" w:rsidR="007B7F13" w:rsidRPr="00D95E71" w:rsidRDefault="006B7E9B">
      <w:pPr>
        <w:pStyle w:val="Heading1"/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Критерії оцінювання</w:t>
      </w:r>
    </w:p>
    <w:p w14:paraId="3B30228E" w14:textId="77777777" w:rsidR="007B7F13" w:rsidRPr="00D95E71" w:rsidRDefault="006B7E9B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Пропозиції будуть оцінюватися за наведеними нижче критеріями:</w:t>
      </w:r>
    </w:p>
    <w:tbl>
      <w:tblPr>
        <w:tblStyle w:val="a"/>
        <w:tblW w:w="9855" w:type="dxa"/>
        <w:tblInd w:w="-230" w:type="dxa"/>
        <w:tblBorders>
          <w:top w:val="single" w:sz="8" w:space="0" w:color="000000"/>
          <w:left w:val="single" w:sz="8" w:space="0" w:color="4BACC6"/>
          <w:bottom w:val="single" w:sz="8" w:space="0" w:color="000000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6662"/>
        <w:gridCol w:w="2571"/>
      </w:tblGrid>
      <w:tr w:rsidR="007B7F13" w:rsidRPr="00D95E71" w14:paraId="3B302292" w14:textId="77777777">
        <w:trPr>
          <w:trHeight w:val="468"/>
        </w:trPr>
        <w:tc>
          <w:tcPr>
            <w:tcW w:w="622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4F81BD"/>
          </w:tcPr>
          <w:p w14:paraId="3B30228F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4F81BD"/>
          </w:tcPr>
          <w:p w14:paraId="3B302290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Критерії</w:t>
            </w:r>
          </w:p>
        </w:tc>
        <w:tc>
          <w:tcPr>
            <w:tcW w:w="2571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3B302291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Вага</w:t>
            </w:r>
          </w:p>
        </w:tc>
      </w:tr>
      <w:tr w:rsidR="007B7F13" w:rsidRPr="00D95E71" w14:paraId="3B302296" w14:textId="77777777">
        <w:trPr>
          <w:trHeight w:val="77"/>
        </w:trPr>
        <w:tc>
          <w:tcPr>
            <w:tcW w:w="622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14:paraId="3B302293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bottom w:val="dotted" w:sz="4" w:space="0" w:color="000000"/>
            </w:tcBorders>
          </w:tcPr>
          <w:p w14:paraId="3B302294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Портфоліо виконаних завдань </w:t>
            </w:r>
          </w:p>
        </w:tc>
        <w:tc>
          <w:tcPr>
            <w:tcW w:w="2571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3B302295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20%</w:t>
            </w:r>
          </w:p>
        </w:tc>
      </w:tr>
      <w:tr w:rsidR="007B7F13" w:rsidRPr="00D95E71" w14:paraId="3B30229A" w14:textId="77777777">
        <w:tc>
          <w:tcPr>
            <w:tcW w:w="62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B302297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dotted" w:sz="4" w:space="0" w:color="000000"/>
              <w:bottom w:val="dotted" w:sz="4" w:space="0" w:color="000000"/>
            </w:tcBorders>
          </w:tcPr>
          <w:p w14:paraId="3B302298" w14:textId="77777777" w:rsidR="007B7F13" w:rsidRPr="005F4418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Відповідний досвід, навички та компетенції</w:t>
            </w:r>
          </w:p>
        </w:tc>
        <w:tc>
          <w:tcPr>
            <w:tcW w:w="2571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3B302299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60%</w:t>
            </w:r>
          </w:p>
        </w:tc>
      </w:tr>
      <w:tr w:rsidR="007B7F13" w:rsidRPr="006B7E9B" w14:paraId="3B30229E" w14:textId="77777777">
        <w:tc>
          <w:tcPr>
            <w:tcW w:w="622" w:type="dxa"/>
            <w:tcBorders>
              <w:top w:val="dotted" w:sz="4" w:space="0" w:color="000000"/>
              <w:left w:val="nil"/>
              <w:bottom w:val="single" w:sz="4" w:space="0" w:color="000000"/>
            </w:tcBorders>
          </w:tcPr>
          <w:p w14:paraId="3B30229B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dotted" w:sz="4" w:space="0" w:color="000000"/>
              <w:bottom w:val="single" w:sz="4" w:space="0" w:color="000000"/>
            </w:tcBorders>
          </w:tcPr>
          <w:p w14:paraId="3B30229C" w14:textId="77777777" w:rsidR="007B7F13" w:rsidRPr="00D95E71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Пропонований бюджет</w:t>
            </w:r>
          </w:p>
        </w:tc>
        <w:tc>
          <w:tcPr>
            <w:tcW w:w="2571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14:paraId="3B30229D" w14:textId="77777777" w:rsidR="007B7F13" w:rsidRPr="006B7E9B" w:rsidRDefault="006B7E9B">
            <w:pP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20%</w:t>
            </w:r>
          </w:p>
        </w:tc>
      </w:tr>
    </w:tbl>
    <w:p w14:paraId="3B30229F" w14:textId="77777777" w:rsidR="007B7F13" w:rsidRPr="006B7E9B" w:rsidRDefault="007B7F13">
      <w:pPr>
        <w:rPr>
          <w:rFonts w:ascii="Verdana" w:eastAsia="Verdana" w:hAnsi="Verdana" w:cs="Verdana"/>
          <w:color w:val="000000"/>
          <w:sz w:val="20"/>
          <w:szCs w:val="20"/>
        </w:rPr>
      </w:pPr>
    </w:p>
    <w:sectPr w:rsidR="007B7F13" w:rsidRPr="006B7E9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F0057" w14:textId="77777777" w:rsidR="00DE74BC" w:rsidRDefault="00DE74BC">
      <w:r>
        <w:separator/>
      </w:r>
    </w:p>
  </w:endnote>
  <w:endnote w:type="continuationSeparator" w:id="0">
    <w:p w14:paraId="27F89E59" w14:textId="77777777" w:rsidR="00DE74BC" w:rsidRDefault="00DE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22A1" w14:textId="31D3F7EB" w:rsidR="007B7F13" w:rsidRDefault="00E35E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en-GB" w:eastAsia="en-GB"/>
      </w:rPr>
      <w:drawing>
        <wp:inline distT="0" distB="0" distL="0" distR="0" wp14:anchorId="2BDAB462" wp14:editId="0046EE6B">
          <wp:extent cx="3108960" cy="111569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93E9" w14:textId="77777777" w:rsidR="00DE74BC" w:rsidRDefault="00DE74BC">
      <w:r>
        <w:separator/>
      </w:r>
    </w:p>
  </w:footnote>
  <w:footnote w:type="continuationSeparator" w:id="0">
    <w:p w14:paraId="04A7D2EA" w14:textId="77777777" w:rsidR="00DE74BC" w:rsidRDefault="00DE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22A0" w14:textId="77777777" w:rsidR="007B7F13" w:rsidRDefault="006B7E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hAnsi="Verdana"/>
        <w:noProof/>
        <w:color w:val="000000"/>
        <w:sz w:val="20"/>
        <w:szCs w:val="20"/>
        <w:lang w:val="en-GB" w:eastAsia="en-GB"/>
      </w:rPr>
      <w:drawing>
        <wp:inline distT="0" distB="0" distL="0" distR="0" wp14:anchorId="3B3022A2" wp14:editId="3B3022A3">
          <wp:extent cx="5758207" cy="8313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378" t="45284" r="12595" b="4454"/>
                  <a:stretch>
                    <a:fillRect/>
                  </a:stretch>
                </pic:blipFill>
                <pic:spPr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52A"/>
    <w:multiLevelType w:val="multilevel"/>
    <w:tmpl w:val="607A8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B43BE"/>
    <w:multiLevelType w:val="multilevel"/>
    <w:tmpl w:val="2A50C1F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0A5E"/>
    <w:multiLevelType w:val="multilevel"/>
    <w:tmpl w:val="AD0E76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22683"/>
    <w:multiLevelType w:val="multilevel"/>
    <w:tmpl w:val="6AC2F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13"/>
    <w:rsid w:val="000108D9"/>
    <w:rsid w:val="0001532E"/>
    <w:rsid w:val="00024705"/>
    <w:rsid w:val="000341A9"/>
    <w:rsid w:val="00042F8D"/>
    <w:rsid w:val="0005041C"/>
    <w:rsid w:val="000530B9"/>
    <w:rsid w:val="000B4D6F"/>
    <w:rsid w:val="000E0EAE"/>
    <w:rsid w:val="000E2A08"/>
    <w:rsid w:val="000F4B8B"/>
    <w:rsid w:val="00105535"/>
    <w:rsid w:val="001071EE"/>
    <w:rsid w:val="0014092C"/>
    <w:rsid w:val="001562F9"/>
    <w:rsid w:val="0015633A"/>
    <w:rsid w:val="001731EF"/>
    <w:rsid w:val="001E7B46"/>
    <w:rsid w:val="00201F0F"/>
    <w:rsid w:val="00215714"/>
    <w:rsid w:val="002311AF"/>
    <w:rsid w:val="00264A44"/>
    <w:rsid w:val="00264E55"/>
    <w:rsid w:val="00266D30"/>
    <w:rsid w:val="002A40B3"/>
    <w:rsid w:val="002B255D"/>
    <w:rsid w:val="002D75C3"/>
    <w:rsid w:val="003125A3"/>
    <w:rsid w:val="00323C5C"/>
    <w:rsid w:val="00346D09"/>
    <w:rsid w:val="00356081"/>
    <w:rsid w:val="00373AFF"/>
    <w:rsid w:val="00377EB3"/>
    <w:rsid w:val="003D632F"/>
    <w:rsid w:val="004159FD"/>
    <w:rsid w:val="004270FE"/>
    <w:rsid w:val="00461226"/>
    <w:rsid w:val="0047705B"/>
    <w:rsid w:val="00492941"/>
    <w:rsid w:val="00494221"/>
    <w:rsid w:val="004A38AF"/>
    <w:rsid w:val="004A6ECF"/>
    <w:rsid w:val="004B078C"/>
    <w:rsid w:val="004C43E1"/>
    <w:rsid w:val="004E1A1B"/>
    <w:rsid w:val="004E2A29"/>
    <w:rsid w:val="00536074"/>
    <w:rsid w:val="00546AFD"/>
    <w:rsid w:val="00554F15"/>
    <w:rsid w:val="00564930"/>
    <w:rsid w:val="00583F7D"/>
    <w:rsid w:val="005A4201"/>
    <w:rsid w:val="005D3B8F"/>
    <w:rsid w:val="005D4B22"/>
    <w:rsid w:val="005E11B1"/>
    <w:rsid w:val="005F4418"/>
    <w:rsid w:val="006161ED"/>
    <w:rsid w:val="0062031E"/>
    <w:rsid w:val="00623618"/>
    <w:rsid w:val="00627B69"/>
    <w:rsid w:val="0063527F"/>
    <w:rsid w:val="00641AF6"/>
    <w:rsid w:val="00654C63"/>
    <w:rsid w:val="0065796F"/>
    <w:rsid w:val="00660EF4"/>
    <w:rsid w:val="00661935"/>
    <w:rsid w:val="00680BD9"/>
    <w:rsid w:val="006846B2"/>
    <w:rsid w:val="0068523B"/>
    <w:rsid w:val="006B7E9B"/>
    <w:rsid w:val="006E1347"/>
    <w:rsid w:val="006E2A48"/>
    <w:rsid w:val="00702E90"/>
    <w:rsid w:val="00704EEC"/>
    <w:rsid w:val="00712650"/>
    <w:rsid w:val="00737611"/>
    <w:rsid w:val="007408FC"/>
    <w:rsid w:val="00750E04"/>
    <w:rsid w:val="007533A8"/>
    <w:rsid w:val="007863BF"/>
    <w:rsid w:val="0079585B"/>
    <w:rsid w:val="007B0C4C"/>
    <w:rsid w:val="007B5CB5"/>
    <w:rsid w:val="007B7F13"/>
    <w:rsid w:val="007C2711"/>
    <w:rsid w:val="007C2A6A"/>
    <w:rsid w:val="007D6BCA"/>
    <w:rsid w:val="008362D9"/>
    <w:rsid w:val="00841905"/>
    <w:rsid w:val="00871FAB"/>
    <w:rsid w:val="008A3C77"/>
    <w:rsid w:val="008D41A2"/>
    <w:rsid w:val="008F32CE"/>
    <w:rsid w:val="009032B6"/>
    <w:rsid w:val="0091338E"/>
    <w:rsid w:val="009218EF"/>
    <w:rsid w:val="00952864"/>
    <w:rsid w:val="009721C5"/>
    <w:rsid w:val="00990253"/>
    <w:rsid w:val="009A0931"/>
    <w:rsid w:val="009A7D59"/>
    <w:rsid w:val="009A7ED4"/>
    <w:rsid w:val="009A7F8D"/>
    <w:rsid w:val="009B5E05"/>
    <w:rsid w:val="009C3C34"/>
    <w:rsid w:val="009D6A29"/>
    <w:rsid w:val="00A100F8"/>
    <w:rsid w:val="00A1047C"/>
    <w:rsid w:val="00A42E6A"/>
    <w:rsid w:val="00A63F21"/>
    <w:rsid w:val="00A77F6C"/>
    <w:rsid w:val="00A81368"/>
    <w:rsid w:val="00AB7195"/>
    <w:rsid w:val="00AC3B5D"/>
    <w:rsid w:val="00AD1DB5"/>
    <w:rsid w:val="00AD2E1F"/>
    <w:rsid w:val="00AE0076"/>
    <w:rsid w:val="00AE2C59"/>
    <w:rsid w:val="00B237CA"/>
    <w:rsid w:val="00B42AA9"/>
    <w:rsid w:val="00B55365"/>
    <w:rsid w:val="00B5627E"/>
    <w:rsid w:val="00B624DB"/>
    <w:rsid w:val="00B70AEC"/>
    <w:rsid w:val="00BD1310"/>
    <w:rsid w:val="00C02571"/>
    <w:rsid w:val="00C14CD7"/>
    <w:rsid w:val="00C21373"/>
    <w:rsid w:val="00C232FB"/>
    <w:rsid w:val="00C53D7D"/>
    <w:rsid w:val="00C62123"/>
    <w:rsid w:val="00C82EBF"/>
    <w:rsid w:val="00C86880"/>
    <w:rsid w:val="00C934F0"/>
    <w:rsid w:val="00CB5676"/>
    <w:rsid w:val="00CE4D66"/>
    <w:rsid w:val="00CE737D"/>
    <w:rsid w:val="00CE7C54"/>
    <w:rsid w:val="00D176F7"/>
    <w:rsid w:val="00D36D39"/>
    <w:rsid w:val="00D56A33"/>
    <w:rsid w:val="00D6794E"/>
    <w:rsid w:val="00D679A6"/>
    <w:rsid w:val="00D90393"/>
    <w:rsid w:val="00D93587"/>
    <w:rsid w:val="00D94746"/>
    <w:rsid w:val="00D95E71"/>
    <w:rsid w:val="00DA322F"/>
    <w:rsid w:val="00DB0010"/>
    <w:rsid w:val="00DC1F46"/>
    <w:rsid w:val="00DD3663"/>
    <w:rsid w:val="00DD6890"/>
    <w:rsid w:val="00DE503C"/>
    <w:rsid w:val="00DE74BC"/>
    <w:rsid w:val="00E04C8A"/>
    <w:rsid w:val="00E06769"/>
    <w:rsid w:val="00E35EB4"/>
    <w:rsid w:val="00E43855"/>
    <w:rsid w:val="00E54D93"/>
    <w:rsid w:val="00E73883"/>
    <w:rsid w:val="00E83A1F"/>
    <w:rsid w:val="00E857F8"/>
    <w:rsid w:val="00EE247A"/>
    <w:rsid w:val="00F15C3B"/>
    <w:rsid w:val="00F33345"/>
    <w:rsid w:val="00F46872"/>
    <w:rsid w:val="00F55985"/>
    <w:rsid w:val="00F7517F"/>
    <w:rsid w:val="00F83B4F"/>
    <w:rsid w:val="00FB29AD"/>
    <w:rsid w:val="00FC323D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222F"/>
  <w15:docId w15:val="{4B4627B3-B2A6-4A2B-8B9C-76D90E73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="Cambria" w:eastAsia="Cambria" w:hAnsi="Cambria" w:cs="Cambria"/>
      <w:i/>
      <w:color w:val="36609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7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B4"/>
  </w:style>
  <w:style w:type="paragraph" w:styleId="Footer">
    <w:name w:val="footer"/>
    <w:basedOn w:val="Normal"/>
    <w:link w:val="FooterChar"/>
    <w:uiPriority w:val="99"/>
    <w:unhideWhenUsed/>
    <w:rsid w:val="00E35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B4"/>
  </w:style>
  <w:style w:type="character" w:styleId="CommentReference">
    <w:name w:val="annotation reference"/>
    <w:basedOn w:val="DefaultParagraphFont"/>
    <w:uiPriority w:val="99"/>
    <w:semiHidden/>
    <w:unhideWhenUsed/>
    <w:rsid w:val="0004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8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Pagh Kristensen</dc:creator>
  <cp:lastModifiedBy>Dmytro Iakymchuk</cp:lastModifiedBy>
  <cp:revision>6</cp:revision>
  <dcterms:created xsi:type="dcterms:W3CDTF">2023-08-09T18:30:00Z</dcterms:created>
  <dcterms:modified xsi:type="dcterms:W3CDTF">2023-08-14T11:20:00Z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71b1329958dad4d768d536706d86cf28ce44db8759016ac128862c324d2918d7</vt:lpwstr>
  </property>
</Properties>
</file>